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18" w:rsidRDefault="00E71918">
      <w:pPr>
        <w:pStyle w:val="Title"/>
        <w:rPr>
          <w:rFonts w:ascii="Arial" w:hAnsi="Arial" w:cs="Arial"/>
          <w:sz w:val="20"/>
        </w:rPr>
      </w:pPr>
      <w:r>
        <w:rPr>
          <w:b w:val="0"/>
          <w:sz w:val="20"/>
          <w:u w:val="none"/>
        </w:rPr>
        <w:t xml:space="preserve"> </w:t>
      </w:r>
      <w:r w:rsidR="00FD4828">
        <w:rPr>
          <w:rFonts w:ascii="Arial" w:hAnsi="Arial" w:cs="Arial"/>
          <w:sz w:val="20"/>
        </w:rPr>
        <w:t>DBA</w:t>
      </w:r>
      <w:r w:rsidR="00DC34F2">
        <w:rPr>
          <w:rFonts w:ascii="Arial" w:hAnsi="Arial" w:cs="Arial"/>
          <w:sz w:val="20"/>
        </w:rPr>
        <w:t xml:space="preserve"> R</w:t>
      </w:r>
      <w:r>
        <w:rPr>
          <w:rFonts w:ascii="Arial" w:hAnsi="Arial" w:cs="Arial"/>
          <w:sz w:val="20"/>
        </w:rPr>
        <w:t>EAL PROPERTY PURCHASE PROCEDURES</w:t>
      </w:r>
    </w:p>
    <w:p w:rsidR="00E71918" w:rsidRDefault="00E71918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80240" w:rsidRDefault="00E71918">
      <w:pPr>
        <w:pStyle w:val="BodyText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i/>
          <w:sz w:val="20"/>
        </w:rPr>
        <w:t>Failure to adhere to these procedures may cause a delay and/or approval of the transaction may be withhel</w:t>
      </w:r>
      <w:r w:rsidR="00AF53B6">
        <w:rPr>
          <w:rFonts w:ascii="Arial" w:hAnsi="Arial" w:cs="Arial"/>
          <w:b/>
          <w:i/>
          <w:sz w:val="20"/>
        </w:rPr>
        <w:t>d.  The process is governed by laws (</w:t>
      </w:r>
      <w:r>
        <w:rPr>
          <w:rFonts w:ascii="Arial" w:hAnsi="Arial" w:cs="Arial"/>
          <w:b/>
          <w:i/>
          <w:sz w:val="20"/>
        </w:rPr>
        <w:t>§22-6-601</w:t>
      </w:r>
      <w:r w:rsidR="00AF53B6">
        <w:rPr>
          <w:rFonts w:ascii="Arial" w:hAnsi="Arial" w:cs="Arial"/>
          <w:b/>
          <w:i/>
          <w:sz w:val="20"/>
        </w:rPr>
        <w:t>)</w:t>
      </w:r>
      <w:r>
        <w:rPr>
          <w:rFonts w:ascii="Arial" w:hAnsi="Arial" w:cs="Arial"/>
          <w:b/>
          <w:i/>
          <w:sz w:val="20"/>
        </w:rPr>
        <w:t xml:space="preserve">, the </w:t>
      </w:r>
      <w:r w:rsidR="00FD4828">
        <w:rPr>
          <w:rFonts w:ascii="Arial" w:hAnsi="Arial" w:cs="Arial"/>
          <w:b/>
          <w:i/>
          <w:sz w:val="20"/>
        </w:rPr>
        <w:t>DBA</w:t>
      </w:r>
      <w:r>
        <w:rPr>
          <w:rFonts w:ascii="Arial" w:hAnsi="Arial" w:cs="Arial"/>
          <w:b/>
          <w:i/>
          <w:sz w:val="20"/>
        </w:rPr>
        <w:t xml:space="preserve"> Minimum Standards and Criteria and other state laws cited below.  Agencies are strongly encouraged to contact their legal representative for these transactions.</w:t>
      </w:r>
    </w:p>
    <w:p w:rsidR="00E71918" w:rsidRPr="00C84794" w:rsidRDefault="002D12A0">
      <w:pPr>
        <w:pStyle w:val="BodyText"/>
        <w:jc w:val="both"/>
        <w:rPr>
          <w:rFonts w:ascii="Arial" w:hAnsi="Arial" w:cs="Arial"/>
          <w:b/>
          <w:i/>
          <w:caps/>
          <w:color w:val="FF0000"/>
          <w:szCs w:val="24"/>
          <w:u w:val="single"/>
        </w:rPr>
      </w:pPr>
      <w:r w:rsidRPr="00C84794">
        <w:rPr>
          <w:rFonts w:ascii="Arial" w:hAnsi="Arial" w:cs="Arial"/>
          <w:b/>
          <w:i/>
          <w:caps/>
          <w:color w:val="FF0000"/>
          <w:szCs w:val="24"/>
          <w:u w:val="single"/>
        </w:rPr>
        <w:t xml:space="preserve">agencies must comply with aca </w:t>
      </w:r>
      <w:r w:rsidR="00F05AA6">
        <w:rPr>
          <w:rFonts w:ascii="Arial" w:hAnsi="Arial" w:cs="Arial"/>
          <w:b/>
          <w:i/>
          <w:caps/>
          <w:color w:val="FF0000"/>
          <w:szCs w:val="24"/>
          <w:u w:val="single"/>
        </w:rPr>
        <w:t>§</w:t>
      </w:r>
      <w:r w:rsidRPr="00C84794">
        <w:rPr>
          <w:rFonts w:ascii="Arial" w:hAnsi="Arial" w:cs="Arial"/>
          <w:b/>
          <w:i/>
          <w:caps/>
          <w:color w:val="FF0000"/>
          <w:szCs w:val="24"/>
          <w:u w:val="single"/>
        </w:rPr>
        <w:t>22-9-104 prior to the start of any purchase of propery in excess of $</w:t>
      </w:r>
      <w:r w:rsidR="00E80240" w:rsidRPr="00C84794">
        <w:rPr>
          <w:rFonts w:ascii="Arial" w:hAnsi="Arial" w:cs="Arial"/>
          <w:b/>
          <w:i/>
          <w:caps/>
          <w:color w:val="FF0000"/>
          <w:szCs w:val="24"/>
          <w:u w:val="single"/>
        </w:rPr>
        <w:t>250,000.</w:t>
      </w:r>
      <w:r w:rsidR="00E71918" w:rsidRPr="00C84794">
        <w:rPr>
          <w:rFonts w:ascii="Arial" w:hAnsi="Arial" w:cs="Arial"/>
          <w:b/>
          <w:i/>
          <w:caps/>
          <w:color w:val="FF0000"/>
          <w:szCs w:val="24"/>
          <w:u w:val="single"/>
        </w:rPr>
        <w:t xml:space="preserve"> </w:t>
      </w:r>
    </w:p>
    <w:p w:rsidR="00E71918" w:rsidRPr="00C84794" w:rsidRDefault="00E71918">
      <w:pPr>
        <w:pStyle w:val="BodyText"/>
        <w:jc w:val="both"/>
        <w:rPr>
          <w:rFonts w:ascii="Arial" w:hAnsi="Arial" w:cs="Arial"/>
          <w:b/>
          <w:i/>
          <w:caps/>
          <w:sz w:val="20"/>
        </w:rPr>
      </w:pPr>
    </w:p>
    <w:p w:rsidR="00E71918" w:rsidRPr="00AF53B6" w:rsidRDefault="00E71918" w:rsidP="00D26C6C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Agencies</w:t>
      </w:r>
      <w:r>
        <w:rPr>
          <w:rFonts w:ascii="Arial" w:hAnsi="Arial" w:cs="Arial"/>
          <w:sz w:val="20"/>
        </w:rPr>
        <w:t xml:space="preserve"> may contact </w:t>
      </w:r>
      <w:r w:rsidR="00DC34F2">
        <w:rPr>
          <w:rFonts w:ascii="Arial" w:hAnsi="Arial" w:cs="Arial"/>
          <w:sz w:val="20"/>
        </w:rPr>
        <w:t xml:space="preserve">our </w:t>
      </w:r>
      <w:r>
        <w:rPr>
          <w:rFonts w:ascii="Arial" w:hAnsi="Arial" w:cs="Arial"/>
          <w:sz w:val="20"/>
        </w:rPr>
        <w:t xml:space="preserve">Design Review Section </w:t>
      </w:r>
      <w:r w:rsidR="00DC34F2">
        <w:rPr>
          <w:rFonts w:ascii="Arial" w:hAnsi="Arial" w:cs="Arial"/>
          <w:sz w:val="20"/>
        </w:rPr>
        <w:t>(DRS) at 501-682-5544</w:t>
      </w:r>
      <w:r>
        <w:rPr>
          <w:rFonts w:ascii="Arial" w:hAnsi="Arial" w:cs="Arial"/>
          <w:sz w:val="20"/>
        </w:rPr>
        <w:t xml:space="preserve"> to initiate a feasibility site review, which can determine the general conditions, market value, as well as flood plain restrictions, appraisal and environmental assessments, and overall suitability for the intended use. If a feasibility study is not requested, </w:t>
      </w:r>
      <w:r w:rsidRPr="00DC34F2">
        <w:rPr>
          <w:rFonts w:ascii="Arial" w:hAnsi="Arial" w:cs="Arial"/>
          <w:i/>
          <w:sz w:val="20"/>
          <w:u w:val="single"/>
        </w:rPr>
        <w:t xml:space="preserve">agencies </w:t>
      </w:r>
      <w:r w:rsidR="00D26C6C" w:rsidRPr="00DC34F2">
        <w:rPr>
          <w:rFonts w:ascii="Arial" w:hAnsi="Arial" w:cs="Arial"/>
          <w:i/>
          <w:sz w:val="20"/>
          <w:u w:val="single"/>
        </w:rPr>
        <w:t xml:space="preserve">shall </w:t>
      </w:r>
      <w:r w:rsidRPr="00DC34F2">
        <w:rPr>
          <w:rFonts w:ascii="Arial" w:hAnsi="Arial" w:cs="Arial"/>
          <w:i/>
          <w:sz w:val="20"/>
          <w:u w:val="single"/>
        </w:rPr>
        <w:t xml:space="preserve">obtain a flood plain status review from the DRS prior to the </w:t>
      </w:r>
      <w:r w:rsidR="00DC34F2" w:rsidRPr="00DC34F2">
        <w:rPr>
          <w:rFonts w:ascii="Arial" w:hAnsi="Arial" w:cs="Arial"/>
          <w:i/>
          <w:sz w:val="20"/>
          <w:u w:val="single"/>
        </w:rPr>
        <w:t xml:space="preserve">certified </w:t>
      </w:r>
      <w:r w:rsidRPr="00DC34F2">
        <w:rPr>
          <w:rFonts w:ascii="Arial" w:hAnsi="Arial" w:cs="Arial"/>
          <w:i/>
          <w:sz w:val="20"/>
          <w:u w:val="single"/>
        </w:rPr>
        <w:t>request in</w:t>
      </w:r>
      <w:r w:rsidR="00F36F0B" w:rsidRPr="00DC34F2">
        <w:rPr>
          <w:rFonts w:ascii="Arial" w:hAnsi="Arial" w:cs="Arial"/>
          <w:i/>
          <w:sz w:val="20"/>
          <w:u w:val="single"/>
        </w:rPr>
        <w:t xml:space="preserve"> (c)</w:t>
      </w:r>
      <w:r w:rsidRPr="00DC34F2">
        <w:rPr>
          <w:rFonts w:ascii="Arial" w:hAnsi="Arial" w:cs="Arial"/>
          <w:i/>
          <w:sz w:val="20"/>
        </w:rPr>
        <w:t>.</w:t>
      </w:r>
    </w:p>
    <w:p w:rsidR="00AF53B6" w:rsidRDefault="00AF53B6" w:rsidP="00AF53B6">
      <w:pPr>
        <w:pStyle w:val="BodyText"/>
        <w:ind w:left="720"/>
        <w:jc w:val="both"/>
        <w:rPr>
          <w:rFonts w:ascii="Arial" w:hAnsi="Arial" w:cs="Arial"/>
          <w:sz w:val="20"/>
        </w:rPr>
      </w:pPr>
    </w:p>
    <w:p w:rsidR="00E71918" w:rsidRDefault="00E71918" w:rsidP="00D26C6C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D26C6C">
        <w:rPr>
          <w:rFonts w:ascii="Arial" w:hAnsi="Arial" w:cs="Arial"/>
          <w:sz w:val="20"/>
        </w:rPr>
        <w:t xml:space="preserve">Agencies shall provide written notification to the </w:t>
      </w:r>
      <w:r w:rsidR="00FD4828">
        <w:rPr>
          <w:rFonts w:ascii="Arial" w:hAnsi="Arial" w:cs="Arial"/>
          <w:sz w:val="20"/>
        </w:rPr>
        <w:t>DBA</w:t>
      </w:r>
      <w:r w:rsidRPr="00D26C6C">
        <w:rPr>
          <w:rFonts w:ascii="Arial" w:hAnsi="Arial" w:cs="Arial"/>
          <w:sz w:val="20"/>
        </w:rPr>
        <w:t xml:space="preserve"> Director when they have obtained</w:t>
      </w:r>
      <w:r w:rsidR="00D26C6C" w:rsidRPr="00D26C6C">
        <w:rPr>
          <w:rFonts w:ascii="Arial" w:hAnsi="Arial" w:cs="Arial"/>
          <w:sz w:val="20"/>
        </w:rPr>
        <w:t xml:space="preserve"> </w:t>
      </w:r>
      <w:r w:rsidRPr="00D26C6C">
        <w:rPr>
          <w:rFonts w:ascii="Arial" w:hAnsi="Arial" w:cs="Arial"/>
          <w:sz w:val="20"/>
        </w:rPr>
        <w:t>the services of a certified/licensed appraiser.  Agencies shall ensure that the appraiser takes an oath* and is properly licensed with the Appraisers Licensing Board.</w:t>
      </w:r>
    </w:p>
    <w:p w:rsidR="00AF53B6" w:rsidRDefault="00AF53B6" w:rsidP="00AF53B6">
      <w:pPr>
        <w:pStyle w:val="ListParagraph"/>
        <w:rPr>
          <w:rFonts w:ascii="Arial" w:hAnsi="Arial" w:cs="Arial"/>
        </w:rPr>
      </w:pPr>
    </w:p>
    <w:p w:rsidR="00E71918" w:rsidRDefault="00DE5789" w:rsidP="00DE5789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DE5789">
        <w:rPr>
          <w:rFonts w:ascii="Arial" w:hAnsi="Arial" w:cs="Arial"/>
          <w:sz w:val="20"/>
        </w:rPr>
        <w:t xml:space="preserve">Agencies shall certify to </w:t>
      </w:r>
      <w:r w:rsidR="00E71918" w:rsidRPr="00DE5789">
        <w:rPr>
          <w:rFonts w:ascii="Arial" w:hAnsi="Arial" w:cs="Arial"/>
          <w:sz w:val="20"/>
        </w:rPr>
        <w:t xml:space="preserve">the </w:t>
      </w:r>
      <w:r w:rsidR="00FD4828">
        <w:rPr>
          <w:rFonts w:ascii="Arial" w:hAnsi="Arial" w:cs="Arial"/>
          <w:sz w:val="20"/>
        </w:rPr>
        <w:t>DBA</w:t>
      </w:r>
      <w:r w:rsidR="00E71918" w:rsidRPr="00DE5789">
        <w:rPr>
          <w:rFonts w:ascii="Arial" w:hAnsi="Arial" w:cs="Arial"/>
          <w:sz w:val="20"/>
        </w:rPr>
        <w:t xml:space="preserve"> Director </w:t>
      </w:r>
      <w:r w:rsidR="00DC34F2">
        <w:rPr>
          <w:rFonts w:ascii="Arial" w:hAnsi="Arial" w:cs="Arial"/>
          <w:sz w:val="20"/>
        </w:rPr>
        <w:t xml:space="preserve">by providing justification for </w:t>
      </w:r>
      <w:r w:rsidR="00E71918" w:rsidRPr="00DE5789">
        <w:rPr>
          <w:rFonts w:ascii="Arial" w:hAnsi="Arial" w:cs="Arial"/>
          <w:sz w:val="20"/>
        </w:rPr>
        <w:t>the proposed purchase</w:t>
      </w:r>
      <w:r w:rsidR="00C84794">
        <w:rPr>
          <w:rFonts w:ascii="Arial" w:hAnsi="Arial" w:cs="Arial"/>
          <w:sz w:val="20"/>
        </w:rPr>
        <w:t xml:space="preserve"> and include a statement as to whether the agency is in compliance with the mandates of ACA § 22-9-104</w:t>
      </w:r>
      <w:r w:rsidR="00DC34F2">
        <w:rPr>
          <w:rFonts w:ascii="Arial" w:hAnsi="Arial" w:cs="Arial"/>
          <w:sz w:val="20"/>
        </w:rPr>
        <w:t xml:space="preserve">. The certification letter shall be accompanied with </w:t>
      </w:r>
      <w:r>
        <w:rPr>
          <w:rFonts w:ascii="Arial" w:hAnsi="Arial" w:cs="Arial"/>
          <w:sz w:val="20"/>
        </w:rPr>
        <w:t>the following documentation</w:t>
      </w:r>
      <w:r w:rsidR="00E71918" w:rsidRPr="00DE5789">
        <w:rPr>
          <w:rFonts w:ascii="Arial" w:hAnsi="Arial" w:cs="Arial"/>
          <w:sz w:val="20"/>
        </w:rPr>
        <w:t>:</w:t>
      </w:r>
    </w:p>
    <w:p w:rsidR="00E71918" w:rsidRDefault="00C84794">
      <w:pPr>
        <w:pStyle w:val="BodyText"/>
        <w:ind w:left="72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E80240">
        <w:rPr>
          <w:rFonts w:ascii="Arial" w:hAnsi="Arial" w:cs="Arial"/>
          <w:sz w:val="20"/>
        </w:rPr>
        <w:t xml:space="preserve">   </w:t>
      </w:r>
      <w:r w:rsidR="00E71918">
        <w:rPr>
          <w:rFonts w:ascii="Arial" w:hAnsi="Arial" w:cs="Arial"/>
          <w:sz w:val="20"/>
        </w:rPr>
        <w:t>Offer and acceptance*</w:t>
      </w:r>
      <w:r w:rsidR="00AF53B6">
        <w:rPr>
          <w:rFonts w:ascii="Arial" w:hAnsi="Arial" w:cs="Arial"/>
          <w:sz w:val="20"/>
        </w:rPr>
        <w:t xml:space="preserve"> (O/A)</w:t>
      </w:r>
      <w:r w:rsidR="00E71918">
        <w:rPr>
          <w:rFonts w:ascii="Arial" w:hAnsi="Arial" w:cs="Arial"/>
          <w:sz w:val="20"/>
        </w:rPr>
        <w:t>;</w:t>
      </w:r>
    </w:p>
    <w:p w:rsidR="00E71918" w:rsidRDefault="00C84794" w:rsidP="00C84794">
      <w:pPr>
        <w:pStyle w:val="BodyText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 </w:t>
      </w:r>
      <w:r w:rsidR="00E71918">
        <w:rPr>
          <w:rFonts w:ascii="Arial" w:hAnsi="Arial" w:cs="Arial"/>
          <w:sz w:val="20"/>
        </w:rPr>
        <w:t>Current appraisal of the property and the appraiser’s oath;</w:t>
      </w:r>
    </w:p>
    <w:p w:rsidR="00E71918" w:rsidRDefault="00C84794" w:rsidP="00C84794">
      <w:pPr>
        <w:pStyle w:val="BodyText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   </w:t>
      </w:r>
      <w:r w:rsidR="00E71918">
        <w:rPr>
          <w:rFonts w:ascii="Arial" w:hAnsi="Arial" w:cs="Arial"/>
          <w:sz w:val="20"/>
        </w:rPr>
        <w:t xml:space="preserve">E098-04 disclosure forms; </w:t>
      </w:r>
    </w:p>
    <w:p w:rsidR="00E71918" w:rsidRDefault="00C84794" w:rsidP="00C84794">
      <w:pPr>
        <w:pStyle w:val="BodyText"/>
        <w:ind w:left="14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4.   </w:t>
      </w:r>
      <w:r w:rsidR="00E71918">
        <w:rPr>
          <w:rFonts w:ascii="Arial" w:hAnsi="Arial" w:cs="Arial"/>
          <w:sz w:val="20"/>
        </w:rPr>
        <w:t xml:space="preserve">Title commitment (seller’s expense/§ 25-16-706; title </w:t>
      </w:r>
      <w:r w:rsidR="00E71918" w:rsidRPr="005455A3">
        <w:rPr>
          <w:rFonts w:ascii="Arial" w:hAnsi="Arial" w:cs="Arial"/>
          <w:color w:val="000000"/>
          <w:sz w:val="20"/>
        </w:rPr>
        <w:t>insurance agent</w:t>
      </w:r>
      <w:r w:rsidR="00E60604">
        <w:rPr>
          <w:rFonts w:ascii="Arial" w:hAnsi="Arial" w:cs="Arial"/>
          <w:color w:val="000000"/>
          <w:sz w:val="20"/>
        </w:rPr>
        <w:t>’s</w:t>
      </w:r>
      <w:r w:rsidR="00E71918" w:rsidRPr="005455A3">
        <w:rPr>
          <w:rFonts w:ascii="Arial" w:hAnsi="Arial" w:cs="Arial"/>
          <w:color w:val="000000"/>
          <w:sz w:val="20"/>
        </w:rPr>
        <w:t xml:space="preserve"> licens</w:t>
      </w:r>
      <w:r w:rsidR="00E60604">
        <w:rPr>
          <w:rFonts w:ascii="Arial" w:hAnsi="Arial" w:cs="Arial"/>
          <w:color w:val="000000"/>
          <w:sz w:val="20"/>
        </w:rPr>
        <w:t>e</w:t>
      </w:r>
      <w:r w:rsidR="00E71918" w:rsidRPr="005455A3">
        <w:rPr>
          <w:rFonts w:ascii="Arial" w:hAnsi="Arial" w:cs="Arial"/>
          <w:color w:val="000000"/>
          <w:sz w:val="20"/>
        </w:rPr>
        <w:t xml:space="preserve">/§ 23-103-301); and </w:t>
      </w:r>
    </w:p>
    <w:p w:rsidR="008838E6" w:rsidRDefault="00C84794" w:rsidP="00C84794">
      <w:pPr>
        <w:pStyle w:val="BodyText"/>
        <w:ind w:left="14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5.   </w:t>
      </w:r>
      <w:r w:rsidR="008838E6">
        <w:rPr>
          <w:rFonts w:ascii="Arial" w:hAnsi="Arial" w:cs="Arial"/>
          <w:color w:val="000000"/>
          <w:sz w:val="20"/>
        </w:rPr>
        <w:t xml:space="preserve">Any documentation from the </w:t>
      </w:r>
      <w:r w:rsidR="00AF53B6">
        <w:rPr>
          <w:rFonts w:ascii="Arial" w:hAnsi="Arial" w:cs="Arial"/>
          <w:color w:val="000000"/>
          <w:sz w:val="20"/>
        </w:rPr>
        <w:t xml:space="preserve">Office of the </w:t>
      </w:r>
      <w:r w:rsidR="008838E6">
        <w:rPr>
          <w:rFonts w:ascii="Arial" w:hAnsi="Arial" w:cs="Arial"/>
          <w:color w:val="000000"/>
          <w:sz w:val="20"/>
        </w:rPr>
        <w:t xml:space="preserve">Attorney General </w:t>
      </w:r>
      <w:r w:rsidR="008838E6" w:rsidRPr="008838E6">
        <w:rPr>
          <w:rFonts w:ascii="Arial" w:hAnsi="Arial" w:cs="Arial"/>
          <w:color w:val="000000"/>
          <w:sz w:val="20"/>
        </w:rPr>
        <w:t>(§ 25-16-706).</w:t>
      </w:r>
    </w:p>
    <w:p w:rsidR="00DE5789" w:rsidRPr="005455A3" w:rsidRDefault="00C84794" w:rsidP="00C84794">
      <w:pPr>
        <w:pStyle w:val="BodyText"/>
        <w:ind w:left="14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6.  </w:t>
      </w:r>
      <w:r w:rsidR="00DE5789" w:rsidRPr="005455A3">
        <w:rPr>
          <w:rFonts w:ascii="Arial" w:hAnsi="Arial" w:cs="Arial"/>
          <w:color w:val="000000"/>
          <w:sz w:val="20"/>
        </w:rPr>
        <w:t xml:space="preserve">If an agency is proposing to purchase a building, the agency shall </w:t>
      </w:r>
      <w:r w:rsidR="00DC34F2">
        <w:rPr>
          <w:rFonts w:ascii="Arial" w:hAnsi="Arial" w:cs="Arial"/>
          <w:color w:val="000000"/>
          <w:sz w:val="20"/>
        </w:rPr>
        <w:t xml:space="preserve">provide documentation or a statement, or both, </w:t>
      </w:r>
      <w:r w:rsidR="00DE5789" w:rsidRPr="005455A3">
        <w:rPr>
          <w:rFonts w:ascii="Arial" w:hAnsi="Arial" w:cs="Arial"/>
          <w:color w:val="000000"/>
          <w:sz w:val="20"/>
        </w:rPr>
        <w:t>that</w:t>
      </w:r>
      <w:r w:rsidR="00DC34F2">
        <w:rPr>
          <w:rFonts w:ascii="Arial" w:hAnsi="Arial" w:cs="Arial"/>
          <w:color w:val="000000"/>
          <w:sz w:val="20"/>
        </w:rPr>
        <w:t xml:space="preserve"> </w:t>
      </w:r>
      <w:r w:rsidR="008838E6">
        <w:rPr>
          <w:rFonts w:ascii="Arial" w:hAnsi="Arial" w:cs="Arial"/>
          <w:color w:val="000000"/>
          <w:sz w:val="20"/>
        </w:rPr>
        <w:t>§22-3-20</w:t>
      </w:r>
      <w:r w:rsidR="00D26C6C" w:rsidRPr="005455A3">
        <w:rPr>
          <w:rFonts w:ascii="Arial" w:hAnsi="Arial" w:cs="Arial"/>
          <w:color w:val="000000"/>
          <w:sz w:val="20"/>
        </w:rPr>
        <w:t>05</w:t>
      </w:r>
      <w:r w:rsidR="00DC34F2">
        <w:rPr>
          <w:rFonts w:ascii="Arial" w:hAnsi="Arial" w:cs="Arial"/>
          <w:color w:val="000000"/>
          <w:sz w:val="20"/>
        </w:rPr>
        <w:t xml:space="preserve"> is being complied with by providing documentation or</w:t>
      </w:r>
      <w:r w:rsidR="00E60604">
        <w:rPr>
          <w:rFonts w:ascii="Arial" w:hAnsi="Arial" w:cs="Arial"/>
          <w:color w:val="000000"/>
          <w:sz w:val="20"/>
        </w:rPr>
        <w:t xml:space="preserve"> a </w:t>
      </w:r>
      <w:r w:rsidR="00DC34F2">
        <w:rPr>
          <w:rFonts w:ascii="Arial" w:hAnsi="Arial" w:cs="Arial"/>
          <w:color w:val="000000"/>
          <w:sz w:val="20"/>
        </w:rPr>
        <w:t>stat</w:t>
      </w:r>
      <w:r w:rsidR="00E60604">
        <w:rPr>
          <w:rFonts w:ascii="Arial" w:hAnsi="Arial" w:cs="Arial"/>
          <w:color w:val="000000"/>
          <w:sz w:val="20"/>
        </w:rPr>
        <w:t>ement</w:t>
      </w:r>
      <w:r w:rsidR="00DC34F2">
        <w:rPr>
          <w:rFonts w:ascii="Arial" w:hAnsi="Arial" w:cs="Arial"/>
          <w:color w:val="000000"/>
          <w:sz w:val="20"/>
        </w:rPr>
        <w:t xml:space="preserve">: </w:t>
      </w:r>
    </w:p>
    <w:p w:rsidR="00DE5789" w:rsidRPr="005455A3" w:rsidRDefault="00DE5789" w:rsidP="00DE5789">
      <w:pPr>
        <w:pStyle w:val="BodyText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</w:rPr>
      </w:pPr>
      <w:r w:rsidRPr="005455A3">
        <w:rPr>
          <w:rFonts w:ascii="Arial" w:hAnsi="Arial" w:cs="Arial"/>
          <w:color w:val="000000"/>
          <w:sz w:val="20"/>
        </w:rPr>
        <w:t>The building met the design and construction standards for a comparable building at the time of its construction; or</w:t>
      </w:r>
    </w:p>
    <w:p w:rsidR="00D26C6C" w:rsidRPr="005455A3" w:rsidRDefault="00D26C6C" w:rsidP="00DE5789">
      <w:pPr>
        <w:pStyle w:val="BodyText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</w:rPr>
      </w:pPr>
      <w:r w:rsidRPr="005455A3">
        <w:rPr>
          <w:rFonts w:ascii="Arial" w:hAnsi="Arial" w:cs="Arial"/>
          <w:color w:val="000000"/>
          <w:sz w:val="20"/>
        </w:rPr>
        <w:t>Major renovation of the building met the standard for energy and water efficiency that was applicable for a comparable building at the time of the major renovation.</w:t>
      </w:r>
    </w:p>
    <w:p w:rsidR="00DE5789" w:rsidRPr="005455A3" w:rsidRDefault="00D26C6C" w:rsidP="00DE5789">
      <w:pPr>
        <w:pStyle w:val="BodyText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</w:rPr>
      </w:pPr>
      <w:r w:rsidRPr="005455A3">
        <w:rPr>
          <w:rFonts w:ascii="Arial" w:hAnsi="Arial" w:cs="Arial"/>
          <w:color w:val="000000"/>
          <w:sz w:val="20"/>
        </w:rPr>
        <w:t xml:space="preserve">(i) or (ii) above do not apply if the building has historic, architectural or cultural significance; is acquired by devise or gift or purchased for demolition. </w:t>
      </w:r>
    </w:p>
    <w:p w:rsidR="00D26C6C" w:rsidRPr="005455A3" w:rsidRDefault="00D26C6C" w:rsidP="00D26C6C">
      <w:pPr>
        <w:pStyle w:val="BodyText"/>
        <w:ind w:left="2880"/>
        <w:jc w:val="both"/>
        <w:rPr>
          <w:rFonts w:ascii="Arial" w:hAnsi="Arial" w:cs="Arial"/>
          <w:color w:val="000000"/>
          <w:sz w:val="20"/>
        </w:rPr>
      </w:pPr>
    </w:p>
    <w:p w:rsidR="00E71918" w:rsidRDefault="00E71918" w:rsidP="00D26C6C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receipt of the document</w:t>
      </w:r>
      <w:r w:rsidR="00AF53B6">
        <w:rPr>
          <w:rFonts w:ascii="Arial" w:hAnsi="Arial" w:cs="Arial"/>
          <w:sz w:val="20"/>
        </w:rPr>
        <w:t xml:space="preserve">s, </w:t>
      </w:r>
      <w:r w:rsidR="00FD4828">
        <w:rPr>
          <w:rFonts w:ascii="Arial" w:hAnsi="Arial" w:cs="Arial"/>
          <w:sz w:val="20"/>
        </w:rPr>
        <w:t>DBA</w:t>
      </w:r>
      <w:r w:rsidR="00AF53B6">
        <w:rPr>
          <w:rFonts w:ascii="Arial" w:hAnsi="Arial" w:cs="Arial"/>
          <w:sz w:val="20"/>
        </w:rPr>
        <w:t xml:space="preserve"> will review the proposed purchase and provide a </w:t>
      </w:r>
      <w:r w:rsidR="00D26C6C">
        <w:rPr>
          <w:rFonts w:ascii="Arial" w:hAnsi="Arial" w:cs="Arial"/>
          <w:sz w:val="20"/>
        </w:rPr>
        <w:t>recommendation</w:t>
      </w:r>
      <w:r>
        <w:rPr>
          <w:rFonts w:ascii="Arial" w:hAnsi="Arial" w:cs="Arial"/>
          <w:sz w:val="20"/>
        </w:rPr>
        <w:t xml:space="preserve"> to the Governor</w:t>
      </w:r>
      <w:r w:rsidR="00AF53B6">
        <w:rPr>
          <w:rFonts w:ascii="Arial" w:hAnsi="Arial" w:cs="Arial"/>
          <w:sz w:val="20"/>
        </w:rPr>
        <w:t xml:space="preserve">.  </w:t>
      </w:r>
      <w:r w:rsidR="00FD4828">
        <w:rPr>
          <w:rFonts w:ascii="Arial" w:hAnsi="Arial" w:cs="Arial"/>
          <w:sz w:val="20"/>
        </w:rPr>
        <w:t>DBA</w:t>
      </w:r>
      <w:r w:rsidR="00AF53B6">
        <w:rPr>
          <w:rFonts w:ascii="Arial" w:hAnsi="Arial" w:cs="Arial"/>
          <w:sz w:val="20"/>
        </w:rPr>
        <w:t xml:space="preserve"> notifies the agency of the Governor’s determination (approval/non-approval). </w:t>
      </w:r>
      <w:r>
        <w:rPr>
          <w:rFonts w:ascii="Arial" w:hAnsi="Arial" w:cs="Arial"/>
          <w:sz w:val="20"/>
        </w:rPr>
        <w:t xml:space="preserve">  </w:t>
      </w:r>
    </w:p>
    <w:p w:rsidR="00D26C6C" w:rsidRDefault="00D26C6C" w:rsidP="00D26C6C">
      <w:pPr>
        <w:pStyle w:val="BodyText"/>
        <w:ind w:left="720"/>
        <w:jc w:val="both"/>
        <w:rPr>
          <w:rFonts w:ascii="Arial" w:hAnsi="Arial" w:cs="Arial"/>
          <w:sz w:val="20"/>
        </w:rPr>
      </w:pPr>
    </w:p>
    <w:p w:rsidR="00E71918" w:rsidRDefault="00E71918" w:rsidP="00D26C6C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Agencies are exempt from revenue tax stamps </w:t>
      </w:r>
      <w:r w:rsidR="00AF53B6">
        <w:rPr>
          <w:rFonts w:ascii="Arial" w:hAnsi="Arial" w:cs="Arial"/>
          <w:sz w:val="20"/>
        </w:rPr>
        <w:t xml:space="preserve">regarding </w:t>
      </w:r>
      <w:r>
        <w:rPr>
          <w:rFonts w:ascii="Arial" w:hAnsi="Arial" w:cs="Arial"/>
          <w:sz w:val="20"/>
        </w:rPr>
        <w:t>property purchases (§ 2</w:t>
      </w:r>
      <w:r w:rsidR="0089702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-6</w:t>
      </w:r>
      <w:r w:rsidR="0089702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-102).      </w:t>
      </w:r>
    </w:p>
    <w:p w:rsidR="00D26C6C" w:rsidRDefault="00D26C6C" w:rsidP="00D26C6C">
      <w:pPr>
        <w:pStyle w:val="ListParagraph"/>
        <w:rPr>
          <w:rFonts w:ascii="Arial" w:hAnsi="Arial" w:cs="Arial"/>
        </w:rPr>
      </w:pPr>
    </w:p>
    <w:p w:rsidR="00DC34F2" w:rsidRPr="00AF53B6" w:rsidRDefault="006D71A3" w:rsidP="00DC34F2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While </w:t>
      </w:r>
      <w:r w:rsidR="00FD4828">
        <w:rPr>
          <w:rFonts w:ascii="Arial" w:hAnsi="Arial" w:cs="Arial"/>
          <w:sz w:val="20"/>
        </w:rPr>
        <w:t>DBA</w:t>
      </w:r>
      <w:r>
        <w:rPr>
          <w:rFonts w:ascii="Arial" w:hAnsi="Arial" w:cs="Arial"/>
          <w:sz w:val="20"/>
        </w:rPr>
        <w:t xml:space="preserve"> discourages the use of “earnest monies”, a</w:t>
      </w:r>
      <w:r w:rsidR="00AF53B6">
        <w:rPr>
          <w:rFonts w:ascii="Arial" w:hAnsi="Arial" w:cs="Arial"/>
          <w:sz w:val="20"/>
        </w:rPr>
        <w:t xml:space="preserve">gencies </w:t>
      </w:r>
      <w:r>
        <w:rPr>
          <w:rFonts w:ascii="Arial" w:hAnsi="Arial" w:cs="Arial"/>
          <w:sz w:val="20"/>
        </w:rPr>
        <w:t>may insert language pertaining to the use of e</w:t>
      </w:r>
      <w:r w:rsidR="00AF53B6" w:rsidRPr="00AF53B6">
        <w:rPr>
          <w:rFonts w:ascii="Arial" w:hAnsi="Arial" w:cs="Arial"/>
          <w:sz w:val="20"/>
        </w:rPr>
        <w:t xml:space="preserve">arnest monies </w:t>
      </w:r>
      <w:r>
        <w:rPr>
          <w:rFonts w:ascii="Arial" w:hAnsi="Arial" w:cs="Arial"/>
          <w:sz w:val="20"/>
        </w:rPr>
        <w:t>a</w:t>
      </w:r>
      <w:r w:rsidR="00AF53B6" w:rsidRPr="00AF53B6">
        <w:rPr>
          <w:rFonts w:ascii="Arial" w:hAnsi="Arial" w:cs="Arial"/>
          <w:sz w:val="20"/>
        </w:rPr>
        <w:t xml:space="preserve">s long as </w:t>
      </w:r>
      <w:r w:rsidR="005F158B">
        <w:rPr>
          <w:rFonts w:ascii="Arial" w:hAnsi="Arial" w:cs="Arial"/>
          <w:sz w:val="20"/>
        </w:rPr>
        <w:t xml:space="preserve">the O/A states </w:t>
      </w:r>
      <w:r w:rsidR="00AF53B6" w:rsidRPr="00AF53B6">
        <w:rPr>
          <w:rFonts w:ascii="Arial" w:hAnsi="Arial" w:cs="Arial"/>
          <w:sz w:val="20"/>
        </w:rPr>
        <w:t>the</w:t>
      </w:r>
      <w:r w:rsidR="00AF53B6">
        <w:rPr>
          <w:rFonts w:ascii="Arial" w:hAnsi="Arial" w:cs="Arial"/>
          <w:sz w:val="20"/>
        </w:rPr>
        <w:t xml:space="preserve"> earnest monies </w:t>
      </w:r>
      <w:r>
        <w:rPr>
          <w:rFonts w:ascii="Arial" w:hAnsi="Arial" w:cs="Arial"/>
          <w:sz w:val="20"/>
        </w:rPr>
        <w:t xml:space="preserve">will be made part of the purchase price if negotiations are successful and will be refunded </w:t>
      </w:r>
      <w:r w:rsidR="00AF53B6" w:rsidRPr="00AF53B6">
        <w:rPr>
          <w:rFonts w:ascii="Arial" w:hAnsi="Arial" w:cs="Arial"/>
          <w:sz w:val="20"/>
        </w:rPr>
        <w:t xml:space="preserve">to the agency if the transaction is not completed regardless of the circumstances. </w:t>
      </w:r>
      <w:r w:rsidR="00E71918" w:rsidRPr="00AF53B6">
        <w:rPr>
          <w:rFonts w:ascii="Arial" w:hAnsi="Arial" w:cs="Arial"/>
          <w:sz w:val="20"/>
        </w:rPr>
        <w:t xml:space="preserve">  </w:t>
      </w:r>
    </w:p>
    <w:p w:rsidR="00DC34F2" w:rsidRDefault="00DC34F2" w:rsidP="00DC34F2">
      <w:pPr>
        <w:pStyle w:val="ListParagraph"/>
        <w:rPr>
          <w:rFonts w:ascii="Arial" w:hAnsi="Arial" w:cs="Arial"/>
        </w:rPr>
      </w:pPr>
    </w:p>
    <w:p w:rsidR="00DC34F2" w:rsidRPr="00DC34F2" w:rsidRDefault="00AF53B6" w:rsidP="00DC34F2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Following the closing process, a</w:t>
      </w:r>
      <w:r w:rsidR="00DC34F2" w:rsidRPr="00DC34F2">
        <w:rPr>
          <w:rFonts w:ascii="Arial" w:hAnsi="Arial" w:cs="Arial"/>
          <w:sz w:val="20"/>
        </w:rPr>
        <w:t xml:space="preserve">gencies should: </w:t>
      </w:r>
    </w:p>
    <w:p w:rsidR="00DC34F2" w:rsidRDefault="000D22CC" w:rsidP="00DC34F2">
      <w:pPr>
        <w:pStyle w:val="BodyTex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File </w:t>
      </w:r>
      <w:r w:rsidR="00DC34F2">
        <w:rPr>
          <w:rFonts w:ascii="Arial" w:hAnsi="Arial" w:cs="Arial"/>
          <w:sz w:val="20"/>
        </w:rPr>
        <w:t>a copy of the recorded deed to the Commissioner of State Lands (</w:t>
      </w:r>
      <w:r w:rsidR="0024777B">
        <w:rPr>
          <w:rFonts w:ascii="Arial" w:hAnsi="Arial" w:cs="Arial"/>
          <w:sz w:val="20"/>
        </w:rPr>
        <w:t xml:space="preserve">See </w:t>
      </w:r>
      <w:r w:rsidR="00DC34F2">
        <w:rPr>
          <w:rFonts w:ascii="Arial" w:hAnsi="Arial" w:cs="Arial"/>
          <w:sz w:val="20"/>
        </w:rPr>
        <w:t xml:space="preserve">§ </w:t>
      </w:r>
      <w:r>
        <w:rPr>
          <w:rFonts w:ascii="Arial" w:hAnsi="Arial" w:cs="Arial"/>
          <w:sz w:val="20"/>
        </w:rPr>
        <w:t>22-5-209 and §411</w:t>
      </w:r>
      <w:r w:rsidR="00DC34F2">
        <w:rPr>
          <w:rFonts w:ascii="Arial" w:hAnsi="Arial" w:cs="Arial"/>
          <w:sz w:val="20"/>
        </w:rPr>
        <w:t xml:space="preserve">).  </w:t>
      </w:r>
    </w:p>
    <w:p w:rsidR="00DC34F2" w:rsidRDefault="00DC34F2" w:rsidP="00DC34F2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Remind the surveyor that any plat made by them of all surveyed property boundary lines should be filed in the county circuit clerk’s office, unless exempted by § 17-48-106.</w:t>
      </w:r>
    </w:p>
    <w:p w:rsidR="00DC34F2" w:rsidRDefault="00DC34F2" w:rsidP="00DC34F2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Send written documentation regarding state ownership to the County Assessor’s Office with respect to tax or tax-exempt status.</w:t>
      </w:r>
    </w:p>
    <w:p w:rsidR="00DC34F2" w:rsidRDefault="00DC34F2" w:rsidP="00DC34F2">
      <w:pPr>
        <w:pStyle w:val="BodyTex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</w:t>
      </w:r>
      <w:r w:rsidR="00AF53B6">
        <w:rPr>
          <w:rFonts w:ascii="Arial" w:hAnsi="Arial" w:cs="Arial"/>
          <w:sz w:val="20"/>
        </w:rPr>
        <w:t xml:space="preserve">written notification to the </w:t>
      </w:r>
      <w:r>
        <w:rPr>
          <w:rFonts w:ascii="Arial" w:hAnsi="Arial" w:cs="Arial"/>
          <w:sz w:val="20"/>
        </w:rPr>
        <w:t xml:space="preserve">RES Administrator of the property ownership and other required information.  (§ 22-2-121). </w:t>
      </w:r>
    </w:p>
    <w:p w:rsidR="00DC34F2" w:rsidRDefault="00DC34F2" w:rsidP="00DC34F2">
      <w:pPr>
        <w:pStyle w:val="BodyText"/>
        <w:ind w:left="720"/>
        <w:jc w:val="both"/>
        <w:rPr>
          <w:rFonts w:ascii="Arial" w:hAnsi="Arial" w:cs="Arial"/>
          <w:sz w:val="20"/>
        </w:rPr>
      </w:pPr>
    </w:p>
    <w:p w:rsidR="00DC34F2" w:rsidRPr="00DC34F2" w:rsidRDefault="00DC34F2" w:rsidP="00DC34F2">
      <w:pPr>
        <w:pStyle w:val="BodyText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Agencies should review laws (§25-1-121) </w:t>
      </w:r>
      <w:r w:rsidR="00E60604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</w:rPr>
        <w:t>prohi</w:t>
      </w:r>
      <w:r w:rsidR="00E60604">
        <w:rPr>
          <w:rFonts w:ascii="Arial" w:hAnsi="Arial" w:cs="Arial"/>
          <w:sz w:val="20"/>
        </w:rPr>
        <w:t>bitions</w:t>
      </w:r>
      <w:r>
        <w:rPr>
          <w:rFonts w:ascii="Arial" w:hAnsi="Arial" w:cs="Arial"/>
          <w:sz w:val="20"/>
        </w:rPr>
        <w:t xml:space="preserve"> </w:t>
      </w:r>
      <w:r w:rsidR="00E60604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>the naming of public building, structures or facilities.</w:t>
      </w:r>
    </w:p>
    <w:p w:rsidR="00E60604" w:rsidRDefault="00E60604" w:rsidP="00D26C6C">
      <w:pPr>
        <w:pStyle w:val="ListParagraph"/>
        <w:rPr>
          <w:rFonts w:ascii="Arial" w:hAnsi="Arial" w:cs="Arial"/>
        </w:rPr>
      </w:pPr>
    </w:p>
    <w:p w:rsidR="00AF53B6" w:rsidRDefault="00D26C6C" w:rsidP="00D26C6C">
      <w:pPr>
        <w:pStyle w:val="BodyText"/>
        <w:ind w:right="-720"/>
        <w:jc w:val="both"/>
        <w:rPr>
          <w:rFonts w:ascii="Arial" w:hAnsi="Arial" w:cs="Arial"/>
          <w:sz w:val="20"/>
        </w:rPr>
      </w:pPr>
      <w:r w:rsidRPr="00D26C6C">
        <w:rPr>
          <w:rFonts w:ascii="Arial" w:hAnsi="Arial" w:cs="Arial"/>
          <w:sz w:val="20"/>
        </w:rPr>
        <w:t xml:space="preserve">*See our website at </w:t>
      </w:r>
      <w:hyperlink r:id="rId8" w:history="1">
        <w:r w:rsidR="00EF6513" w:rsidRPr="00C40705">
          <w:rPr>
            <w:rStyle w:val="Hyperlink"/>
            <w:rFonts w:ascii="Arial" w:hAnsi="Arial" w:cs="Arial"/>
            <w:sz w:val="20"/>
          </w:rPr>
          <w:t>www.dba.arkansas.gov</w:t>
        </w:r>
      </w:hyperlink>
      <w:r>
        <w:rPr>
          <w:rFonts w:ascii="Arial" w:hAnsi="Arial" w:cs="Arial"/>
          <w:sz w:val="20"/>
        </w:rPr>
        <w:t xml:space="preserve"> (Click on Forms &amp; Resources – </w:t>
      </w:r>
      <w:r w:rsidR="00AF53B6">
        <w:rPr>
          <w:rFonts w:ascii="Arial" w:hAnsi="Arial" w:cs="Arial"/>
          <w:sz w:val="20"/>
        </w:rPr>
        <w:t xml:space="preserve">sample O/A and Appraisal Oath </w:t>
      </w:r>
      <w:r>
        <w:rPr>
          <w:rFonts w:ascii="Arial" w:hAnsi="Arial" w:cs="Arial"/>
          <w:sz w:val="20"/>
        </w:rPr>
        <w:t>forms can be</w:t>
      </w:r>
    </w:p>
    <w:p w:rsidR="008356FE" w:rsidRDefault="00D26C6C" w:rsidP="00D26C6C">
      <w:pPr>
        <w:pStyle w:val="BodyText"/>
        <w:ind w:right="-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found under </w:t>
      </w:r>
      <w:r w:rsidRPr="00D26C6C">
        <w:rPr>
          <w:rFonts w:ascii="Arial" w:hAnsi="Arial" w:cs="Arial"/>
          <w:sz w:val="20"/>
        </w:rPr>
        <w:t>RES</w:t>
      </w:r>
      <w:r>
        <w:rPr>
          <w:rFonts w:ascii="Arial" w:hAnsi="Arial" w:cs="Arial"/>
          <w:sz w:val="20"/>
        </w:rPr>
        <w:t>)</w:t>
      </w:r>
      <w:r w:rsidRPr="00D26C6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Pr="00D26C6C">
        <w:rPr>
          <w:rFonts w:ascii="Arial" w:hAnsi="Arial" w:cs="Arial"/>
          <w:sz w:val="20"/>
        </w:rPr>
        <w:t xml:space="preserve">Executed </w:t>
      </w:r>
      <w:r w:rsidR="00AF53B6">
        <w:rPr>
          <w:rFonts w:ascii="Arial" w:hAnsi="Arial" w:cs="Arial"/>
          <w:sz w:val="20"/>
        </w:rPr>
        <w:t>c</w:t>
      </w:r>
      <w:r w:rsidRPr="00D26C6C">
        <w:rPr>
          <w:rFonts w:ascii="Arial" w:hAnsi="Arial" w:cs="Arial"/>
          <w:sz w:val="20"/>
        </w:rPr>
        <w:t>opies</w:t>
      </w:r>
      <w:r w:rsidR="00AF53B6">
        <w:rPr>
          <w:rFonts w:ascii="Arial" w:hAnsi="Arial" w:cs="Arial"/>
          <w:sz w:val="20"/>
        </w:rPr>
        <w:t xml:space="preserve"> </w:t>
      </w:r>
      <w:r w:rsidRPr="00D26C6C">
        <w:rPr>
          <w:rFonts w:ascii="Arial" w:hAnsi="Arial" w:cs="Arial"/>
          <w:sz w:val="20"/>
        </w:rPr>
        <w:t>of</w:t>
      </w:r>
      <w:r w:rsidR="00AF53B6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</w:t>
      </w:r>
      <w:r w:rsidRPr="00D26C6C">
        <w:rPr>
          <w:rFonts w:ascii="Arial" w:hAnsi="Arial" w:cs="Arial"/>
          <w:sz w:val="20"/>
        </w:rPr>
        <w:t>O</w:t>
      </w:r>
      <w:r w:rsidR="00AF53B6">
        <w:rPr>
          <w:rFonts w:ascii="Arial" w:hAnsi="Arial" w:cs="Arial"/>
          <w:sz w:val="20"/>
        </w:rPr>
        <w:t xml:space="preserve">/A </w:t>
      </w:r>
      <w:r w:rsidRPr="00D26C6C">
        <w:rPr>
          <w:rFonts w:ascii="Arial" w:hAnsi="Arial" w:cs="Arial"/>
          <w:sz w:val="20"/>
        </w:rPr>
        <w:t>will be acceptable if</w:t>
      </w:r>
      <w:r w:rsidR="008356FE">
        <w:rPr>
          <w:rFonts w:ascii="Arial" w:hAnsi="Arial" w:cs="Arial"/>
          <w:sz w:val="20"/>
        </w:rPr>
        <w:t xml:space="preserve"> it is conditional </w:t>
      </w:r>
      <w:r w:rsidRPr="00D26C6C">
        <w:rPr>
          <w:rFonts w:ascii="Arial" w:hAnsi="Arial" w:cs="Arial"/>
          <w:sz w:val="20"/>
        </w:rPr>
        <w:t xml:space="preserve">upon the approval </w:t>
      </w:r>
      <w:r w:rsidR="00AF53B6">
        <w:rPr>
          <w:rFonts w:ascii="Arial" w:hAnsi="Arial" w:cs="Arial"/>
          <w:sz w:val="20"/>
        </w:rPr>
        <w:t xml:space="preserve">of the Governor. </w:t>
      </w:r>
    </w:p>
    <w:p w:rsidR="008356FE" w:rsidRDefault="00D26C6C" w:rsidP="00D26C6C">
      <w:pPr>
        <w:pStyle w:val="BodyText"/>
        <w:ind w:right="-720"/>
        <w:jc w:val="both"/>
        <w:rPr>
          <w:rFonts w:ascii="Arial" w:hAnsi="Arial" w:cs="Arial"/>
          <w:i/>
          <w:iCs/>
          <w:sz w:val="20"/>
        </w:rPr>
      </w:pPr>
      <w:r w:rsidRPr="00D26C6C">
        <w:rPr>
          <w:rFonts w:ascii="Arial" w:hAnsi="Arial" w:cs="Arial"/>
          <w:i/>
          <w:iCs/>
          <w:sz w:val="20"/>
        </w:rPr>
        <w:t xml:space="preserve">However, </w:t>
      </w:r>
      <w:r w:rsidR="00FD4828">
        <w:rPr>
          <w:rFonts w:ascii="Arial" w:hAnsi="Arial" w:cs="Arial"/>
          <w:i/>
          <w:iCs/>
          <w:sz w:val="20"/>
        </w:rPr>
        <w:t>DBA</w:t>
      </w:r>
      <w:r w:rsidRPr="00D26C6C">
        <w:rPr>
          <w:rFonts w:ascii="Arial" w:hAnsi="Arial" w:cs="Arial"/>
          <w:i/>
          <w:iCs/>
          <w:sz w:val="20"/>
        </w:rPr>
        <w:t xml:space="preserve"> would strongly suggest that agencies not execute Offer and Acceptances </w:t>
      </w:r>
      <w:r w:rsidR="00AF53B6">
        <w:rPr>
          <w:rFonts w:ascii="Arial" w:hAnsi="Arial" w:cs="Arial"/>
          <w:i/>
          <w:iCs/>
          <w:sz w:val="20"/>
        </w:rPr>
        <w:t>without an initial review by RES</w:t>
      </w:r>
    </w:p>
    <w:p w:rsidR="008356FE" w:rsidRDefault="00AF53B6" w:rsidP="00D26C6C">
      <w:pPr>
        <w:pStyle w:val="BodyText"/>
        <w:ind w:right="-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prior to the submittal in </w:t>
      </w:r>
      <w:r w:rsidR="00D26C6C" w:rsidRPr="00D26C6C">
        <w:rPr>
          <w:rFonts w:ascii="Arial" w:hAnsi="Arial" w:cs="Arial"/>
          <w:i/>
          <w:iCs/>
          <w:sz w:val="20"/>
        </w:rPr>
        <w:t>(c).</w:t>
      </w:r>
      <w:r>
        <w:rPr>
          <w:rFonts w:ascii="Arial" w:hAnsi="Arial" w:cs="Arial"/>
          <w:i/>
          <w:iCs/>
          <w:sz w:val="20"/>
        </w:rPr>
        <w:t xml:space="preserve">  </w:t>
      </w:r>
      <w:r w:rsidR="00FD4828">
        <w:rPr>
          <w:rFonts w:ascii="Arial" w:hAnsi="Arial" w:cs="Arial"/>
          <w:sz w:val="20"/>
        </w:rPr>
        <w:t>DBA</w:t>
      </w:r>
      <w:r w:rsidR="00D26C6C" w:rsidRPr="00D26C6C">
        <w:rPr>
          <w:rFonts w:ascii="Arial" w:hAnsi="Arial" w:cs="Arial"/>
          <w:sz w:val="20"/>
        </w:rPr>
        <w:t xml:space="preserve"> approval of the draft offer and acceptance should not be deemed</w:t>
      </w:r>
      <w:r>
        <w:rPr>
          <w:rFonts w:ascii="Arial" w:hAnsi="Arial" w:cs="Arial"/>
          <w:sz w:val="20"/>
        </w:rPr>
        <w:t xml:space="preserve"> in any manner </w:t>
      </w:r>
      <w:r w:rsidR="00D26C6C" w:rsidRPr="00D26C6C">
        <w:rPr>
          <w:rFonts w:ascii="Arial" w:hAnsi="Arial" w:cs="Arial"/>
          <w:sz w:val="20"/>
        </w:rPr>
        <w:t xml:space="preserve">as a </w:t>
      </w:r>
    </w:p>
    <w:p w:rsidR="00D26C6C" w:rsidRDefault="00D26C6C" w:rsidP="003C5E6B">
      <w:pPr>
        <w:pStyle w:val="BodyText"/>
        <w:tabs>
          <w:tab w:val="left" w:pos="9672"/>
        </w:tabs>
        <w:ind w:right="-720"/>
        <w:jc w:val="both"/>
        <w:rPr>
          <w:rFonts w:ascii="Arial" w:hAnsi="Arial" w:cs="Arial"/>
          <w:sz w:val="20"/>
        </w:rPr>
      </w:pPr>
      <w:r w:rsidRPr="00D26C6C">
        <w:rPr>
          <w:rFonts w:ascii="Arial" w:hAnsi="Arial" w:cs="Arial"/>
          <w:sz w:val="20"/>
        </w:rPr>
        <w:t xml:space="preserve">favorable </w:t>
      </w:r>
      <w:r w:rsidR="00AF53B6">
        <w:rPr>
          <w:rFonts w:ascii="Arial" w:hAnsi="Arial" w:cs="Arial"/>
          <w:sz w:val="20"/>
        </w:rPr>
        <w:t>recommend</w:t>
      </w:r>
      <w:r w:rsidR="00AF53B6" w:rsidRPr="00D26C6C">
        <w:rPr>
          <w:rFonts w:ascii="Arial" w:hAnsi="Arial" w:cs="Arial"/>
          <w:sz w:val="20"/>
        </w:rPr>
        <w:t>ation</w:t>
      </w:r>
      <w:r w:rsidR="00AF53B6">
        <w:rPr>
          <w:rFonts w:ascii="Arial" w:hAnsi="Arial" w:cs="Arial"/>
          <w:sz w:val="20"/>
        </w:rPr>
        <w:t xml:space="preserve"> </w:t>
      </w:r>
      <w:r w:rsidRPr="00D26C6C">
        <w:rPr>
          <w:rFonts w:ascii="Arial" w:hAnsi="Arial" w:cs="Arial"/>
          <w:sz w:val="20"/>
        </w:rPr>
        <w:t xml:space="preserve">to the Governor under (e).  </w:t>
      </w:r>
      <w:r w:rsidR="00AF53B6">
        <w:rPr>
          <w:rFonts w:ascii="Arial" w:hAnsi="Arial" w:cs="Arial"/>
          <w:sz w:val="20"/>
        </w:rPr>
        <w:t xml:space="preserve"> </w:t>
      </w:r>
      <w:r w:rsidRPr="00D26C6C">
        <w:rPr>
          <w:rFonts w:ascii="Arial" w:hAnsi="Arial" w:cs="Arial"/>
          <w:sz w:val="20"/>
        </w:rPr>
        <w:t xml:space="preserve">  </w:t>
      </w:r>
      <w:r w:rsidR="003C5E6B">
        <w:rPr>
          <w:rFonts w:ascii="Arial" w:hAnsi="Arial" w:cs="Arial"/>
          <w:sz w:val="20"/>
        </w:rPr>
        <w:tab/>
      </w:r>
    </w:p>
    <w:sectPr w:rsidR="00D26C6C" w:rsidSect="00D26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61" w:rsidRDefault="009B2A61">
      <w:r>
        <w:separator/>
      </w:r>
    </w:p>
  </w:endnote>
  <w:endnote w:type="continuationSeparator" w:id="0">
    <w:p w:rsidR="009B2A61" w:rsidRDefault="009B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18" w:rsidRDefault="00E71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1918" w:rsidRDefault="00E71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18" w:rsidRDefault="00E719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2A0">
      <w:rPr>
        <w:rStyle w:val="PageNumber"/>
        <w:noProof/>
      </w:rPr>
      <w:t>2</w:t>
    </w:r>
    <w:r>
      <w:rPr>
        <w:rStyle w:val="PageNumber"/>
      </w:rPr>
      <w:fldChar w:fldCharType="end"/>
    </w:r>
  </w:p>
  <w:p w:rsidR="00E71918" w:rsidRDefault="00D26C6C">
    <w:pPr>
      <w:pStyle w:val="Footer"/>
    </w:pPr>
    <w:r>
      <w:t xml:space="preserve">                                                                                        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18" w:rsidRDefault="00D26C6C" w:rsidP="00D26C6C">
    <w:pPr>
      <w:pStyle w:val="BodyText"/>
      <w:ind w:right="-720"/>
      <w:jc w:val="both"/>
      <w:rPr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</w:t>
    </w:r>
    <w:r w:rsidR="00E71918">
      <w:rPr>
        <w:rFonts w:ascii="Arial" w:hAnsi="Arial" w:cs="Arial"/>
        <w:sz w:val="18"/>
      </w:rPr>
      <w:tab/>
    </w:r>
    <w:r w:rsidR="00E71918">
      <w:rPr>
        <w:rFonts w:ascii="Arial" w:hAnsi="Arial" w:cs="Arial"/>
        <w:sz w:val="18"/>
      </w:rPr>
      <w:tab/>
    </w:r>
    <w:r w:rsidR="00E71918">
      <w:rPr>
        <w:rFonts w:ascii="Arial" w:hAnsi="Arial" w:cs="Arial"/>
        <w:sz w:val="18"/>
      </w:rPr>
      <w:tab/>
    </w:r>
    <w:r w:rsidR="00E71918">
      <w:rPr>
        <w:rFonts w:ascii="Arial" w:hAnsi="Arial" w:cs="Arial"/>
        <w:sz w:val="18"/>
      </w:rPr>
      <w:tab/>
    </w:r>
    <w:r w:rsidR="00DC34F2">
      <w:rPr>
        <w:rFonts w:ascii="Arial" w:hAnsi="Arial" w:cs="Arial"/>
        <w:sz w:val="18"/>
      </w:rPr>
      <w:t xml:space="preserve">            </w:t>
    </w:r>
    <w:r w:rsidR="00E80240">
      <w:rPr>
        <w:rFonts w:ascii="Arial" w:hAnsi="Arial" w:cs="Arial"/>
        <w:sz w:val="18"/>
      </w:rPr>
      <w:t xml:space="preserve">        </w:t>
    </w:r>
    <w:r w:rsidR="00FD4828">
      <w:rPr>
        <w:rFonts w:ascii="Arial" w:hAnsi="Arial" w:cs="Arial"/>
        <w:sz w:val="18"/>
      </w:rPr>
      <w:t xml:space="preserve">                       </w:t>
    </w:r>
    <w:r w:rsidR="00FD4828">
      <w:rPr>
        <w:rFonts w:ascii="Arial" w:hAnsi="Arial" w:cs="Arial"/>
        <w:sz w:val="18"/>
      </w:rPr>
      <w:t>7</w:t>
    </w:r>
    <w:r w:rsidR="00DC34F2">
      <w:rPr>
        <w:rFonts w:ascii="Arial" w:hAnsi="Arial" w:cs="Arial"/>
        <w:sz w:val="18"/>
      </w:rPr>
      <w:t>-</w:t>
    </w:r>
    <w:r w:rsidR="003C5E6B">
      <w:rPr>
        <w:rFonts w:ascii="Arial" w:hAnsi="Arial" w:cs="Arial"/>
        <w:sz w:val="18"/>
      </w:rPr>
      <w:t>24-19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61" w:rsidRDefault="009B2A61">
      <w:r>
        <w:separator/>
      </w:r>
    </w:p>
  </w:footnote>
  <w:footnote w:type="continuationSeparator" w:id="0">
    <w:p w:rsidR="009B2A61" w:rsidRDefault="009B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828" w:rsidRDefault="00FD4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828" w:rsidRDefault="00FD4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828" w:rsidRDefault="00FD4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AA9"/>
    <w:multiLevelType w:val="singleLevel"/>
    <w:tmpl w:val="E5405D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D27293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4338C"/>
    <w:multiLevelType w:val="hybridMultilevel"/>
    <w:tmpl w:val="98CC77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A3C60"/>
    <w:multiLevelType w:val="hybridMultilevel"/>
    <w:tmpl w:val="C24C7714"/>
    <w:lvl w:ilvl="0" w:tplc="86DC1AD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6A94F26"/>
    <w:multiLevelType w:val="hybridMultilevel"/>
    <w:tmpl w:val="E698DF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EE1FD7"/>
    <w:multiLevelType w:val="hybridMultilevel"/>
    <w:tmpl w:val="68F85E12"/>
    <w:lvl w:ilvl="0" w:tplc="64AEBE9E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A64363"/>
    <w:multiLevelType w:val="hybridMultilevel"/>
    <w:tmpl w:val="ED6AB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FA9"/>
    <w:multiLevelType w:val="hybridMultilevel"/>
    <w:tmpl w:val="A6021D4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A0030C"/>
    <w:multiLevelType w:val="hybridMultilevel"/>
    <w:tmpl w:val="5994DE18"/>
    <w:lvl w:ilvl="0" w:tplc="41E8F736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6245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D22D3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DB2E31"/>
    <w:multiLevelType w:val="hybridMultilevel"/>
    <w:tmpl w:val="E2DA5B86"/>
    <w:lvl w:ilvl="0" w:tplc="3230C84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4162A89"/>
    <w:multiLevelType w:val="hybridMultilevel"/>
    <w:tmpl w:val="CB54E9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E351C4"/>
    <w:multiLevelType w:val="hybridMultilevel"/>
    <w:tmpl w:val="E698DF8C"/>
    <w:lvl w:ilvl="0" w:tplc="B90224B6">
      <w:start w:val="5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5" w15:restartNumberingAfterBreak="0">
    <w:nsid w:val="648F7D8E"/>
    <w:multiLevelType w:val="hybridMultilevel"/>
    <w:tmpl w:val="5994DE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5A2DDB"/>
    <w:multiLevelType w:val="hybridMultilevel"/>
    <w:tmpl w:val="C32E693A"/>
    <w:lvl w:ilvl="0" w:tplc="A2400E7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34D15BE"/>
    <w:multiLevelType w:val="hybridMultilevel"/>
    <w:tmpl w:val="37FAB944"/>
    <w:lvl w:ilvl="0" w:tplc="BD0017D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E6D2A33C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C0A6308"/>
    <w:multiLevelType w:val="hybridMultilevel"/>
    <w:tmpl w:val="8CD8C7D8"/>
    <w:lvl w:ilvl="0" w:tplc="0C9E660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9"/>
  </w:num>
  <w:num w:numId="5">
    <w:abstractNumId w:val="10"/>
  </w:num>
  <w:num w:numId="6">
    <w:abstractNumId w:val="17"/>
  </w:num>
  <w:num w:numId="7">
    <w:abstractNumId w:val="18"/>
  </w:num>
  <w:num w:numId="8">
    <w:abstractNumId w:val="14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2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26"/>
    <w:rsid w:val="00054580"/>
    <w:rsid w:val="000A75CF"/>
    <w:rsid w:val="000D22CC"/>
    <w:rsid w:val="0019008C"/>
    <w:rsid w:val="0024777B"/>
    <w:rsid w:val="002D12A0"/>
    <w:rsid w:val="003C5E6B"/>
    <w:rsid w:val="004922D2"/>
    <w:rsid w:val="0053495C"/>
    <w:rsid w:val="005455A3"/>
    <w:rsid w:val="00571D51"/>
    <w:rsid w:val="005F158B"/>
    <w:rsid w:val="006D71A3"/>
    <w:rsid w:val="008356FE"/>
    <w:rsid w:val="008838E6"/>
    <w:rsid w:val="00897026"/>
    <w:rsid w:val="00940B77"/>
    <w:rsid w:val="009B2A61"/>
    <w:rsid w:val="00AF53B6"/>
    <w:rsid w:val="00B224B1"/>
    <w:rsid w:val="00B7547A"/>
    <w:rsid w:val="00BE0715"/>
    <w:rsid w:val="00C84794"/>
    <w:rsid w:val="00D26C6C"/>
    <w:rsid w:val="00D71EF1"/>
    <w:rsid w:val="00DC34F2"/>
    <w:rsid w:val="00DE5789"/>
    <w:rsid w:val="00E2034C"/>
    <w:rsid w:val="00E60604"/>
    <w:rsid w:val="00E71918"/>
    <w:rsid w:val="00E80240"/>
    <w:rsid w:val="00EF6513"/>
    <w:rsid w:val="00F05AA6"/>
    <w:rsid w:val="00F36F0B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88697"/>
  <w15:docId w15:val="{ABA733D4-FC87-411A-835B-862A058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144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6C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A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a.arkansa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63E5C-2D5E-486B-BE12-20970965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STATE BUILDING SERVICES</vt:lpstr>
    </vt:vector>
  </TitlesOfParts>
  <Company>AR State Building Services</Company>
  <LinksUpToDate>false</LinksUpToDate>
  <CharactersWithSpaces>4303</CharactersWithSpaces>
  <SharedDoc>false</SharedDoc>
  <HLinks>
    <vt:vector size="6" baseType="variant"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http://www.aba.arkansas.gov/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STATE BUILDING SERVICES</dc:title>
  <dc:creator>Susan L. Wilson</dc:creator>
  <cp:lastModifiedBy>Susan Wilson</cp:lastModifiedBy>
  <cp:revision>2</cp:revision>
  <cp:lastPrinted>2014-02-28T18:20:00Z</cp:lastPrinted>
  <dcterms:created xsi:type="dcterms:W3CDTF">2019-07-30T13:09:00Z</dcterms:created>
  <dcterms:modified xsi:type="dcterms:W3CDTF">2019-07-30T13:09:00Z</dcterms:modified>
</cp:coreProperties>
</file>